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72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3689"/>
        <w:gridCol w:w="1134"/>
        <w:gridCol w:w="850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附件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spacing w:line="540" w:lineRule="exac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07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小标宋" w:hAnsi="黑体" w:eastAsia="小标宋" w:cs="宋体"/>
                <w:kern w:val="0"/>
                <w:sz w:val="28"/>
                <w:szCs w:val="28"/>
              </w:rPr>
            </w:pPr>
            <w:r>
              <w:rPr>
                <w:rFonts w:hint="eastAsia" w:ascii="小标宋" w:hAnsi="黑体" w:eastAsia="小标宋" w:cs="宋体"/>
                <w:kern w:val="0"/>
                <w:sz w:val="36"/>
                <w:szCs w:val="36"/>
              </w:rPr>
              <w:t>汕头大学2024年招收华侨港澳台学生本科专业目录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专业（课程）类别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招生专业（课程）名称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收生名额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学费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人民币：元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汉语言文学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文史：8；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理工：7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英语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泰语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西班牙语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金融学（国际金融、数字金融）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工商管理（创业与创新管理）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工商管理（创业与创新管理）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市场营销（大数据营销）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会计学（智能会计）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会计学（大数据管理会计）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新闻学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广告学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网络与新媒体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光电信息科学与工程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机械设计制造及其自动化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智能制造工程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电子信息工程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通信工程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电子与计算机工程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数据科学与大数据技术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建筑学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生物医学工程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6850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药学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文理兼类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国际新闻与传播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生物医学科学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6960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理工类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五年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视觉传达设计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艺术：5</w:t>
            </w: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环境设计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产品设计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公共艺术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数字媒体艺术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艺术类</w:t>
            </w:r>
          </w:p>
        </w:tc>
        <w:tc>
          <w:tcPr>
            <w:tcW w:w="3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艺术设计学</w:t>
            </w:r>
          </w:p>
        </w:tc>
        <w:tc>
          <w:tcPr>
            <w:tcW w:w="1134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四年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072" w:type="dxa"/>
            <w:gridSpan w:val="5"/>
            <w:tcBorders>
              <w:top w:val="single" w:color="auto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备注：1.报考我校艺术类专业的考生，还须参加我校的术科考试，术科考试时间、地点及具体要求详见我校招生信息网上（http://zs.stu.edu.cn）《汕头大学2024年设计学类专业招收华侨港澳台学生简章》，请报名时与我校联系；2.招生专业计划最终以联招办公布的为准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MTZiM2ExY2U4NjYyMDhkNGJiZjAwYWFkOTA2ZjUifQ=="/>
  </w:docVars>
  <w:rsids>
    <w:rsidRoot w:val="00000000"/>
    <w:rsid w:val="06CD1646"/>
    <w:rsid w:val="6A7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2023-07-10T10:08:00Z</dcterms:created>
  <dc:creator>汕头大学招生办</dc:creator>
  <cp:lastModifiedBy>Eric</cp:lastModifiedBy>
  <dcterms:modified xsi:type="dcterms:W3CDTF">2024-02-22T01:44:07Z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39BB2A07AB8C4E28A228D15A572B4B1F_12</vt:lpwstr>
  </property>
</Properties>
</file>